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1B2C8B" w:rsidP="009511D5" w14:paraId="2AE0BD6D" w14:textId="4C8D88ED">
      <w:pPr>
        <w:sectPr w:rsidSect="00677955">
          <w:headerReference w:type="default" r:id="rId4"/>
          <w:footerReference w:type="default" r:id="rId5"/>
          <w:pgSz w:w="12240" w:h="15840"/>
          <w:pgMar w:top="4140" w:right="720" w:bottom="2340" w:left="720" w:header="720" w:footer="720" w:gutter="0"/>
          <w:cols w:space="720"/>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Broker Logo" style="width:129.6pt;height:88.2pt;margin-top:490pt;margin-left:320pt;mso-position-horizontal-relative:margin;mso-position-vertical-relative:margin;position:absolute;z-index:251658240">
            <v:imagedata r:id="rId6" o:title=""/>
            <o:lock v:ext="edit" aspectratio="t"/>
            <w10:wrap anchorx="margin" anchory="margin"/>
            <w10:anchorlock/>
          </v:shape>
        </w:pict>
      </w:r>
    </w:p>
    <w:p w:rsidR="001B2C8B" w:rsidRPr="000647C3" w:rsidP="000647C3" w14:paraId="0ACFD06D" w14:textId="6CCAC7BC">
      <w:pPr>
        <w:pStyle w:val="Title"/>
        <w:spacing w:before="0" w:after="120" w:line="192" w:lineRule="auto"/>
        <w:ind w:right="-180"/>
        <w:rPr>
          <w:sz w:val="50"/>
          <w:szCs w:val="50"/>
        </w:rPr>
      </w:pPr>
      <w:r>
        <w:rPr>
          <w:noProof w:val="0"/>
          <w:sz w:val="50"/>
          <w:szCs w:val="50"/>
        </w:rPr>
        <w:pict>
          <v:group id="Group 8" o:spid="_x0000_s1028" style="width:201.3pt;height:453.6pt;margin-top:236.1pt;margin-left:-14.5pt;mso-height-relative:margin;mso-position-vertical-relative:page;mso-width-relative:margin;mso-wrap-distance-left:46.8pt;mso-wrap-distance-right:46.8pt;position:absolute;z-index:251659264" coordsize="24961,57634">
            <v:shape id="Text Box 12" o:spid="_x0000_s1029" style="width:24961;height:31705;position:absolute;visibility:visible" coordsize="2933637,6942511" o:spt="100" adj="-11796480,,5400" path="m,452176l2933637,,2642235,6942511,,6942511,,452176xe" filled="f" stroked="f" strokeweight="0.5pt">
              <v:stroke joinstyle="miter"/>
              <v:formulas/>
              <v:path arrowok="t" o:connecttype="custom" o:connectlocs="0,206503;2496185,0;2248236,3170555;0,3170555;0,206503" o:connectangles="0,0,0,0,0" textboxrect="0,0,2933637,6942511"/>
              <v:textbox>
                <w:txbxContent>
                  <w:p w:rsidR="00D82309" w:rsidRPr="009511D5" w:rsidP="00D600EB" w14:paraId="52CE4495" w14:textId="77777777">
                    <w:pPr>
                      <w:pStyle w:val="Heading3"/>
                    </w:pPr>
                    <w:r w:rsidRPr="009511D5">
                      <w:t>HIGHLIGHTS</w:t>
                    </w:r>
                  </w:p>
                  <w:p w:rsidR="00F8394B" w:rsidP="00F8394B" w14:paraId="64B64DC8" w14:textId="56755404">
                    <w:pPr>
                      <w:pStyle w:val="HBullets"/>
                    </w:pPr>
                    <w:r w:rsidRPr="00F8394B">
                      <w:t>The ACA imposes PCORI fees on health insurance issuers and self-insured plan sponsors.</w:t>
                    </w:r>
                  </w:p>
                  <w:p w:rsidR="00B27F03" w:rsidRPr="00D3402E" w:rsidP="00B27F03" w14:paraId="39E560B6" w14:textId="57BF58EA">
                    <w:pPr>
                      <w:pStyle w:val="HBullets"/>
                    </w:pPr>
                    <w:r>
                      <w:t xml:space="preserve">The final </w:t>
                    </w:r>
                    <w:r>
                      <w:t>PCORI fees for plan years ending in 2018 are due by July 31, 2019.</w:t>
                    </w:r>
                  </w:p>
                  <w:p w:rsidR="00D82309" w:rsidRPr="007E2B5B" w:rsidP="000647C3" w14:paraId="2FBC0042" w14:textId="0728F69C">
                    <w:pPr>
                      <w:pStyle w:val="HBullets"/>
                    </w:pPr>
                    <w:r w:rsidRPr="000647C3">
                      <w:t>For non-calendar year plans ending between Jan. 1, 2019, and Sept. 30, 2019, a final PCORI fee pa</w:t>
                    </w:r>
                    <w:r>
                      <w:t>yment will be due July 31, 2020</w:t>
                    </w:r>
                    <w:r w:rsidRPr="00E85CEC" w:rsidR="00B27F03">
                      <w:t>.</w:t>
                    </w:r>
                  </w:p>
                </w:txbxContent>
              </v:textbox>
            </v:shape>
            <v:shape id="Text Box 7" o:spid="_x0000_s1030" style="width:24961;height:25927;position:absolute;top:31707;visibility:visible" coordsize="2933637,6942511" o:spt="100" adj="-11796480,,5400" path="m,452176l2933637,,2642235,6942511,,6942511,,452176xe" filled="f" stroked="f" strokeweight="0.5pt">
              <v:stroke joinstyle="miter"/>
              <v:formulas/>
              <v:path arrowok="t" o:connecttype="custom" o:connectlocs="0,168867;2496185,0;2248236,2592705;0,2592705;0,168867" o:connectangles="0,0,0,0,0" textboxrect="0,0,2933637,6942511"/>
              <v:textbox>
                <w:txbxContent>
                  <w:p w:rsidR="00B239EB" w:rsidRPr="009511D5" w:rsidP="00D600EB" w14:paraId="164D0CCD" w14:textId="77777777">
                    <w:pPr>
                      <w:pStyle w:val="Heading3"/>
                    </w:pPr>
                    <w:r w:rsidRPr="00D600EB">
                      <w:t>IMPORTANT</w:t>
                    </w:r>
                    <w:r w:rsidRPr="009511D5">
                      <w:t xml:space="preserve"> DATES</w:t>
                    </w:r>
                  </w:p>
                  <w:p w:rsidR="00B27F03" w:rsidRPr="007E2B5B" w:rsidP="00B27F03" w14:paraId="6D7EE272" w14:textId="77777777">
                    <w:pPr>
                      <w:pStyle w:val="HSubheading"/>
                    </w:pPr>
                    <w:r>
                      <w:t>July 31, 2019</w:t>
                    </w:r>
                  </w:p>
                  <w:p w:rsidR="00B239EB" w:rsidP="00B27F03" w14:paraId="37C217CA" w14:textId="55CCB78A">
                    <w:pPr>
                      <w:pStyle w:val="HText"/>
                    </w:pPr>
                    <w:r>
                      <w:t xml:space="preserve">The </w:t>
                    </w:r>
                    <w:r w:rsidR="00B27F03">
                      <w:t>PCORI fees</w:t>
                    </w:r>
                    <w:r>
                      <w:t xml:space="preserve"> for plan years ending in 2018</w:t>
                    </w:r>
                    <w:r w:rsidR="00B27F03">
                      <w:t xml:space="preserve"> are due</w:t>
                    </w:r>
                    <w:r w:rsidRPr="00D3402E" w:rsidR="00B27F03">
                      <w:t>.</w:t>
                    </w:r>
                  </w:p>
                  <w:p w:rsidR="000647C3" w:rsidRPr="007E2B5B" w:rsidP="000647C3" w14:paraId="408CB73A" w14:textId="6BFD8C0F">
                    <w:pPr>
                      <w:pStyle w:val="HSubheading"/>
                    </w:pPr>
                    <w:r>
                      <w:t>July 31, 2020</w:t>
                    </w:r>
                  </w:p>
                  <w:p w:rsidR="000647C3" w:rsidRPr="00D3402E" w:rsidP="000647C3" w14:paraId="29AA1B53" w14:textId="6AC5D242">
                    <w:pPr>
                      <w:pStyle w:val="HText"/>
                    </w:pPr>
                    <w:r>
                      <w:t>For non-calendar year plans ending between Jan. 1, 2019, and Sept. 30, 2019, a final PCORI fee payment will be due July 31, 2020</w:t>
                    </w:r>
                    <w:r w:rsidRPr="00D3402E">
                      <w:t>.</w:t>
                    </w:r>
                  </w:p>
                </w:txbxContent>
              </v:textbox>
            </v:shape>
            <w10:wrap type="square" side="right"/>
          </v:group>
        </w:pict>
      </w:r>
      <w:r w:rsidRPr="000647C3" w:rsidR="00F8394B">
        <w:rPr>
          <w:sz w:val="50"/>
          <w:szCs w:val="50"/>
        </w:rPr>
        <w:t>PCORI Fees Due July 31, 2019</w:t>
      </w:r>
    </w:p>
    <w:p w:rsidR="001B2C8B" w:rsidRPr="005B3B2F" w:rsidP="000647C3" w14:paraId="617B8BB2" w14:textId="77777777">
      <w:pPr>
        <w:pStyle w:val="Heading1"/>
        <w:spacing w:after="120"/>
      </w:pPr>
      <w:r w:rsidRPr="005B3B2F">
        <w:t>OVERVIEW</w:t>
      </w:r>
    </w:p>
    <w:p w:rsidR="00F8394B" w:rsidP="000647C3" w14:paraId="3F56518F" w14:textId="46D60D8C">
      <w:pPr>
        <w:ind w:right="-180"/>
      </w:pPr>
      <w:r w:rsidRPr="001067A1">
        <w:t>The Affordable Care Act (ACA) requires health insurance issuers and self-insured plan</w:t>
      </w:r>
      <w:r>
        <w:t xml:space="preserve"> </w:t>
      </w:r>
      <w:r w:rsidRPr="001067A1">
        <w:t xml:space="preserve">sponsors to pay Patient-Centered Outcomes Research Institute fees (PCORI fees). The fees are reported and paid annually using </w:t>
      </w:r>
      <w:r>
        <w:fldChar w:fldCharType="begin"/>
      </w:r>
      <w:r>
        <w:instrText xml:space="preserve"> HYPERLINK "https://www.irs.gov/pub/irs-pdf/f720.pdf" </w:instrText>
      </w:r>
      <w:r>
        <w:fldChar w:fldCharType="separate"/>
      </w:r>
      <w:r w:rsidRPr="001067A1">
        <w:rPr>
          <w:rStyle w:val="Hyperlink"/>
        </w:rPr>
        <w:t>IRS Form 720</w:t>
      </w:r>
      <w:r>
        <w:fldChar w:fldCharType="end"/>
      </w:r>
      <w:r w:rsidRPr="001067A1">
        <w:t xml:space="preserve"> (Quarterly Federal Excise Tax Return).</w:t>
      </w:r>
      <w:r>
        <w:t xml:space="preserve"> </w:t>
      </w:r>
      <w:r w:rsidRPr="00DF53FD">
        <w:t xml:space="preserve">The PCORI fees do not apply for plan years ending on or after Oct. 1, 2019. </w:t>
      </w:r>
      <w:r>
        <w:t xml:space="preserve">Therefore, </w:t>
      </w:r>
      <w:r>
        <w:rPr>
          <w:b/>
        </w:rPr>
        <w:t>the 2018 plan year wa</w:t>
      </w:r>
      <w:r w:rsidRPr="00DF53FD">
        <w:rPr>
          <w:b/>
        </w:rPr>
        <w:t>s the last plan year that these fees we</w:t>
      </w:r>
      <w:r>
        <w:rPr>
          <w:b/>
        </w:rPr>
        <w:t>re</w:t>
      </w:r>
      <w:r w:rsidRPr="00DF53FD">
        <w:rPr>
          <w:b/>
        </w:rPr>
        <w:t xml:space="preserve"> effective</w:t>
      </w:r>
      <w:r w:rsidRPr="00DF53FD">
        <w:t>.</w:t>
      </w:r>
    </w:p>
    <w:p w:rsidR="001B2C8B" w:rsidP="000647C3" w14:paraId="4F1FB4D7" w14:textId="31028BF5">
      <w:pPr>
        <w:ind w:right="-180"/>
      </w:pPr>
      <w:r>
        <w:t>Issuers and plan sponsors ar</w:t>
      </w:r>
      <w:r w:rsidRPr="001067A1">
        <w:t>e</w:t>
      </w:r>
      <w:r>
        <w:t xml:space="preserve"> generally</w:t>
      </w:r>
      <w:r w:rsidRPr="001067A1">
        <w:t xml:space="preserve"> required to pay the PCORI fees annually by July 31 of each year. </w:t>
      </w:r>
      <w:r>
        <w:t xml:space="preserve">As a result, the </w:t>
      </w:r>
      <w:r w:rsidR="000647C3">
        <w:t>final PCORI fee payment</w:t>
      </w:r>
      <w:r>
        <w:t xml:space="preserve"> </w:t>
      </w:r>
      <w:r w:rsidR="000647C3">
        <w:t xml:space="preserve">for plan years ending in 2018 </w:t>
      </w:r>
      <w:r w:rsidR="00A909C1">
        <w:t>is</w:t>
      </w:r>
      <w:r>
        <w:t xml:space="preserve"> due </w:t>
      </w:r>
      <w:r>
        <w:rPr>
          <w:b/>
        </w:rPr>
        <w:t>July 31, 2019</w:t>
      </w:r>
      <w:r w:rsidRPr="0069793E">
        <w:t>.</w:t>
      </w:r>
      <w:r w:rsidR="000647C3">
        <w:t xml:space="preserve"> However, for non-calendar year plans ending between Jan. 1, 2019, and Sept. 30, 2019, a final PCORI fee payment will be due July 31, 2020</w:t>
      </w:r>
      <w:r w:rsidRPr="00D3402E" w:rsidR="000647C3">
        <w:t>.</w:t>
      </w:r>
    </w:p>
    <w:p w:rsidR="00D46A3B" w:rsidRPr="001B2C8B" w:rsidP="000647C3" w14:paraId="0E698BE7" w14:textId="77777777">
      <w:pPr>
        <w:pStyle w:val="Heading1"/>
        <w:spacing w:after="120"/>
      </w:pPr>
      <w:r>
        <w:t>ACTION STEPS</w:t>
      </w:r>
    </w:p>
    <w:p w:rsidR="00F8394B" w:rsidP="000647C3" w14:paraId="79A303CF" w14:textId="77777777">
      <w:pPr>
        <w:ind w:right="-180"/>
      </w:pPr>
      <w:r>
        <w:t>To assess their compliance obligations, employers should:</w:t>
      </w:r>
    </w:p>
    <w:p w:rsidR="00F8394B" w:rsidP="000647C3" w14:paraId="7DD60F36" w14:textId="77777777">
      <w:pPr>
        <w:pStyle w:val="Checkmark"/>
        <w:ind w:right="-180"/>
      </w:pPr>
      <w:r>
        <w:t>Determine which plans are subject to the research fees;</w:t>
      </w:r>
    </w:p>
    <w:p w:rsidR="00F8394B" w:rsidP="000647C3" w14:paraId="181283EE" w14:textId="77777777">
      <w:pPr>
        <w:pStyle w:val="Checkmark"/>
        <w:ind w:right="-180"/>
      </w:pPr>
      <w:r>
        <w:t>Assess plan funding to determine whether the issuer or the employer is responsible for the fees; and</w:t>
      </w:r>
    </w:p>
    <w:p w:rsidR="001B2C8B" w:rsidRPr="001B2C8B" w:rsidP="000647C3" w14:paraId="0228D0B3" w14:textId="5BD95334">
      <w:pPr>
        <w:pStyle w:val="Checkmark"/>
        <w:ind w:right="-180"/>
      </w:pPr>
      <w:r>
        <w:t>For self-insured plans, select an approach for calculating average covered lives.</w:t>
      </w:r>
    </w:p>
    <w:p w:rsidR="00B27F03" w:rsidP="00B27F03" w14:paraId="72DB03D8" w14:textId="41BB8232">
      <w:pPr>
        <w:pStyle w:val="Heading2"/>
      </w:pPr>
      <w:r>
        <w:t>Overview of PCORI Fees</w:t>
      </w:r>
    </w:p>
    <w:p w:rsidR="00B27F03" w:rsidP="00B27F03" w14:paraId="572F64BD" w14:textId="569E3FE0">
      <w:r>
        <w:t xml:space="preserve">The PCORI fees apply for plan years ending on or after Oct. 1, 2012, but do not apply for plan years ending on or after Oct. 1, 2019. For calendar year plans, the fees will be effective for the 2012 through 2018 plan years. </w:t>
      </w:r>
      <w:r w:rsidRPr="00DF53FD">
        <w:rPr>
          <w:b/>
        </w:rPr>
        <w:t>Therefore, the 2018 plan year is the last plan year that these fees will be effective, for calendar year plans.</w:t>
      </w:r>
    </w:p>
    <w:p w:rsidR="00B27F03" w:rsidP="00B27F03" w14:paraId="50388D63" w14:textId="4CEBB4E3">
      <w:pPr>
        <w:rPr>
          <w:b/>
        </w:rPr>
      </w:pPr>
      <w:r>
        <w:t>Issuers and plan sponsors must pay PCORI fees</w:t>
      </w:r>
      <w:r>
        <w:t xml:space="preserve"> annually</w:t>
      </w:r>
      <w:r>
        <w:t xml:space="preserve"> on IRS </w:t>
      </w:r>
      <w:r>
        <w:fldChar w:fldCharType="begin"/>
      </w:r>
      <w:r>
        <w:instrText xml:space="preserve"> HYPERLINK "http://www.irs.gov/pub/irs-pdf/f720.pdf" </w:instrText>
      </w:r>
      <w:r>
        <w:fldChar w:fldCharType="separate"/>
      </w:r>
      <w:r w:rsidRPr="00E85CEC">
        <w:rPr>
          <w:rStyle w:val="Hyperlink"/>
        </w:rPr>
        <w:t>Form 720</w:t>
      </w:r>
      <w:r>
        <w:fldChar w:fldCharType="end"/>
      </w:r>
      <w:r>
        <w:t xml:space="preserve"> by July 31 of each year. The fee generally cover</w:t>
      </w:r>
      <w:r w:rsidR="00F8394B">
        <w:t>s</w:t>
      </w:r>
      <w:r>
        <w:t xml:space="preserve"> plan years that end during the preceding calendar year. </w:t>
      </w:r>
      <w:r w:rsidR="000647C3">
        <w:rPr>
          <w:b/>
        </w:rPr>
        <w:t>For plans ending in</w:t>
      </w:r>
      <w:r w:rsidRPr="00DF53FD">
        <w:rPr>
          <w:b/>
        </w:rPr>
        <w:t xml:space="preserve"> 2018, </w:t>
      </w:r>
      <w:r w:rsidR="000647C3">
        <w:rPr>
          <w:b/>
        </w:rPr>
        <w:t xml:space="preserve">the final </w:t>
      </w:r>
      <w:r w:rsidRPr="00DF53FD">
        <w:rPr>
          <w:b/>
        </w:rPr>
        <w:t>PCORI fees are due by July 31, 2019.</w:t>
      </w:r>
    </w:p>
    <w:tbl>
      <w:tblPr>
        <w:tblW w:w="0" w:type="auto"/>
        <w:jc w:val="center"/>
        <w:tblBorders>
          <w:top w:val="single" w:sz="18" w:space="0" w:color="C95F5F"/>
          <w:left w:val="single" w:sz="18" w:space="0" w:color="C95F5F"/>
          <w:bottom w:val="single" w:sz="18" w:space="0" w:color="C95F5F"/>
          <w:right w:val="single" w:sz="18" w:space="0" w:color="C95F5F"/>
          <w:insideH w:val="single" w:sz="18" w:space="0" w:color="C95F5F"/>
          <w:insideV w:val="single" w:sz="18" w:space="0" w:color="C95F5F"/>
        </w:tblBorders>
        <w:tblLook w:val="04A0"/>
      </w:tblPr>
      <w:tblGrid>
        <w:gridCol w:w="10083"/>
      </w:tblGrid>
      <w:tr w14:paraId="7DB98DE8" w14:textId="77777777" w:rsidTr="000647C3">
        <w:tblPrEx>
          <w:tblW w:w="0" w:type="auto"/>
          <w:jc w:val="center"/>
          <w:tblBorders>
            <w:top w:val="single" w:sz="18" w:space="0" w:color="C95F5F"/>
            <w:left w:val="single" w:sz="18" w:space="0" w:color="C95F5F"/>
            <w:bottom w:val="single" w:sz="18" w:space="0" w:color="C95F5F"/>
            <w:right w:val="single" w:sz="18" w:space="0" w:color="C95F5F"/>
            <w:insideH w:val="single" w:sz="18" w:space="0" w:color="C95F5F"/>
            <w:insideV w:val="single" w:sz="18" w:space="0" w:color="C95F5F"/>
          </w:tblBorders>
          <w:tblLook w:val="04A0"/>
        </w:tblPrEx>
        <w:trPr>
          <w:jc w:val="center"/>
        </w:trPr>
        <w:tc>
          <w:tcPr>
            <w:tcW w:w="10083" w:type="dxa"/>
            <w:shd w:val="clear" w:color="auto" w:fill="F2F2F2"/>
          </w:tcPr>
          <w:p w:rsidR="00F8394B" w:rsidP="00850C59" w14:paraId="422E1A73" w14:textId="5C5071F4">
            <w:pPr>
              <w:spacing w:before="160"/>
              <w:jc w:val="center"/>
              <w:rPr>
                <w:noProof/>
              </w:rPr>
            </w:pPr>
            <w:r>
              <w:rPr>
                <w:b/>
              </w:rPr>
              <w:t>B</w:t>
            </w:r>
            <w:r w:rsidRPr="005F3D0C">
              <w:rPr>
                <w:b/>
              </w:rPr>
              <w:t xml:space="preserve">ecause </w:t>
            </w:r>
            <w:r>
              <w:rPr>
                <w:b/>
              </w:rPr>
              <w:t>the PCORI fees do not apply for plan years ending on or after Oct. 1, 2019</w:t>
            </w:r>
            <w:r w:rsidRPr="005F3D0C">
              <w:rPr>
                <w:b/>
              </w:rPr>
              <w:t xml:space="preserve">, </w:t>
            </w:r>
            <w:r>
              <w:rPr>
                <w:b/>
              </w:rPr>
              <w:t>these are</w:t>
            </w:r>
            <w:r w:rsidRPr="005F3D0C">
              <w:rPr>
                <w:b/>
              </w:rPr>
              <w:t xml:space="preserve"> the</w:t>
            </w:r>
            <w:r>
              <w:rPr>
                <w:b/>
              </w:rPr>
              <w:t xml:space="preserve"> final</w:t>
            </w:r>
            <w:r w:rsidRPr="005F3D0C">
              <w:rPr>
                <w:b/>
              </w:rPr>
              <w:t xml:space="preserve"> PCORI fees </w:t>
            </w:r>
            <w:r>
              <w:rPr>
                <w:b/>
              </w:rPr>
              <w:t>that will be</w:t>
            </w:r>
            <w:r w:rsidRPr="005F3D0C">
              <w:rPr>
                <w:b/>
              </w:rPr>
              <w:t xml:space="preserve"> due</w:t>
            </w:r>
            <w:r w:rsidR="000647C3">
              <w:rPr>
                <w:b/>
              </w:rPr>
              <w:t xml:space="preserve"> for plans ending in 2018</w:t>
            </w:r>
            <w:r w:rsidRPr="000647C3">
              <w:rPr>
                <w:b/>
              </w:rPr>
              <w:t>.</w:t>
            </w:r>
            <w:r w:rsidRPr="000647C3" w:rsidR="000647C3">
              <w:rPr>
                <w:b/>
              </w:rPr>
              <w:t xml:space="preserve"> However, a final PCORI fee payment will be due July 31, 2020, for non-calendar year plans ending between Jan. 1, 2019, and Sept. 30, 2019.</w:t>
            </w:r>
          </w:p>
        </w:tc>
      </w:tr>
    </w:tbl>
    <w:p w:rsidR="00F8394B" w:rsidRPr="0077447C" w:rsidP="00F8394B" w14:paraId="7580F89D" w14:textId="77777777">
      <w:pPr>
        <w:pStyle w:val="Heading2"/>
        <w:rPr>
          <w:noProof/>
        </w:rPr>
      </w:pPr>
      <w:r w:rsidRPr="0077447C">
        <w:rPr>
          <w:noProof/>
        </w:rPr>
        <w:t>Reporting and Paying PCORI Fees on Form 720</w:t>
      </w:r>
    </w:p>
    <w:p w:rsidR="00F8394B" w:rsidP="00F8394B" w14:paraId="6FCEA1A2" w14:textId="77777777">
      <w:pPr>
        <w:rPr>
          <w:noProof/>
        </w:rPr>
      </w:pPr>
      <w:r w:rsidRPr="00CA1981">
        <w:rPr>
          <w:noProof/>
        </w:rPr>
        <w:t xml:space="preserve">In general, the PCORI fees are assessed, collected and enforced like taxes under the Internal Revenue Code. Issuers and plan sponsors must report and pay the research fees annually on </w:t>
      </w:r>
      <w:r>
        <w:fldChar w:fldCharType="begin"/>
      </w:r>
      <w:r>
        <w:instrText xml:space="preserve"> HYPERLINK "https://www.irs.gov/pub/irs-pdf/f720.pdf" </w:instrText>
      </w:r>
      <w:r>
        <w:fldChar w:fldCharType="separate"/>
      </w:r>
      <w:r w:rsidRPr="00CA1981">
        <w:rPr>
          <w:rStyle w:val="Hyperlink"/>
          <w:noProof/>
        </w:rPr>
        <w:t>IRS Form 720</w:t>
      </w:r>
      <w:r>
        <w:fldChar w:fldCharType="end"/>
      </w:r>
      <w:r w:rsidRPr="00CA1981">
        <w:rPr>
          <w:noProof/>
        </w:rPr>
        <w:t xml:space="preserve"> (Quarterly Federal Excise Tax Return).</w:t>
      </w:r>
      <w:r>
        <w:rPr>
          <w:noProof/>
        </w:rPr>
        <w:t xml:space="preserve"> The PCORI fee applies separately to “specified health insurance policies” and “applicable self-insured health plans,” and is b</w:t>
      </w:r>
      <w:bookmarkStart w:id="0" w:name="_GoBack"/>
      <w:bookmarkEnd w:id="0"/>
      <w:r>
        <w:rPr>
          <w:noProof/>
        </w:rPr>
        <w:t>ased on the average number of lives covered under the plan or policy.</w:t>
      </w:r>
    </w:p>
    <w:p w:rsidR="00F8394B" w:rsidP="00F8394B" w14:paraId="651BB4C4" w14:textId="1F91BCF4">
      <w:pPr>
        <w:rPr>
          <w:noProof/>
        </w:rPr>
      </w:pPr>
      <w:r>
        <w:rPr>
          <w:noProof/>
        </w:rPr>
        <w:t>Using Part II, Number 133 of Form 720, issuers and plan sponsors are required to report the average number of lives covered under the plan separately for specified health insurance policies and applicable self-insured health plans. That number is then multiplied by the applicable rate for that tax year, as follows:</w:t>
      </w:r>
    </w:p>
    <w:p w:rsidR="00F8394B" w:rsidP="00F8394B" w14:paraId="72F2B936" w14:textId="77777777">
      <w:pPr>
        <w:pStyle w:val="Checkmark"/>
        <w:spacing w:before="120" w:after="120"/>
        <w:rPr>
          <w:noProof/>
        </w:rPr>
      </w:pPr>
      <w:r w:rsidRPr="00CA1981">
        <w:rPr>
          <w:b/>
          <w:noProof/>
        </w:rPr>
        <w:t>$1</w:t>
      </w:r>
      <w:r>
        <w:rPr>
          <w:noProof/>
        </w:rPr>
        <w:t xml:space="preserve"> for plan years ending before Oct. 1, 2013 (that is, 2012 for calendar year plans).</w:t>
      </w:r>
    </w:p>
    <w:p w:rsidR="00F8394B" w:rsidP="00F8394B" w14:paraId="64B8500A" w14:textId="77777777">
      <w:pPr>
        <w:pStyle w:val="Checkmark"/>
        <w:spacing w:before="120" w:after="120"/>
        <w:rPr>
          <w:noProof/>
        </w:rPr>
      </w:pPr>
      <w:r w:rsidRPr="00CA1981">
        <w:rPr>
          <w:b/>
          <w:noProof/>
        </w:rPr>
        <w:t>$2</w:t>
      </w:r>
      <w:r>
        <w:rPr>
          <w:noProof/>
        </w:rPr>
        <w:t xml:space="preserve"> for plan years ending on or after Oct. 1, 2013, and before Oct. 1, 2014.</w:t>
      </w:r>
    </w:p>
    <w:p w:rsidR="00F8394B" w:rsidP="00F8394B" w14:paraId="0DE3808E" w14:textId="77777777">
      <w:pPr>
        <w:pStyle w:val="Checkmark"/>
        <w:spacing w:before="120" w:after="120"/>
        <w:rPr>
          <w:noProof/>
        </w:rPr>
      </w:pPr>
      <w:r w:rsidRPr="00CA1981">
        <w:rPr>
          <w:b/>
          <w:noProof/>
        </w:rPr>
        <w:t>$2.08</w:t>
      </w:r>
      <w:r>
        <w:rPr>
          <w:noProof/>
        </w:rPr>
        <w:t xml:space="preserve"> for plan years ending on or after Oct. 1, 2014, and before Oct. 1, 2015 (see </w:t>
      </w:r>
      <w:r>
        <w:fldChar w:fldCharType="begin"/>
      </w:r>
      <w:r>
        <w:instrText xml:space="preserve"> HYPERLINK "http://www.irs.gov/pub/irs-drop/n-14-56.pdf" </w:instrText>
      </w:r>
      <w:r>
        <w:fldChar w:fldCharType="separate"/>
      </w:r>
      <w:r w:rsidRPr="00CA1981">
        <w:rPr>
          <w:rStyle w:val="Hyperlink"/>
          <w:noProof/>
        </w:rPr>
        <w:t>Notice 2014-56</w:t>
      </w:r>
      <w:r>
        <w:fldChar w:fldCharType="end"/>
      </w:r>
      <w:r>
        <w:rPr>
          <w:noProof/>
        </w:rPr>
        <w:t>).</w:t>
      </w:r>
    </w:p>
    <w:p w:rsidR="00F8394B" w:rsidP="00F8394B" w14:paraId="6BC770CB" w14:textId="69C5D66E">
      <w:pPr>
        <w:pStyle w:val="Checkmark"/>
        <w:spacing w:before="120" w:after="120"/>
        <w:rPr>
          <w:noProof/>
        </w:rPr>
      </w:pPr>
      <w:r>
        <w:rPr>
          <w:b/>
          <w:noProof/>
        </w:rPr>
        <w:t>$2.17</w:t>
      </w:r>
      <w:r>
        <w:rPr>
          <w:noProof/>
        </w:rPr>
        <w:t xml:space="preserve"> for plan years ending </w:t>
      </w:r>
      <w:r w:rsidRPr="009A0DC9">
        <w:t>on or after Oct. 1, 2015, and before Oct. 1, 2016 (</w:t>
      </w:r>
      <w:r>
        <w:t xml:space="preserve">see </w:t>
      </w:r>
      <w:r>
        <w:fldChar w:fldCharType="begin"/>
      </w:r>
      <w:r>
        <w:instrText xml:space="preserve"> HYPERLINK "http://www.irs.gov/pub/irs-drop/n-15-60.pdf" </w:instrText>
      </w:r>
      <w:r>
        <w:fldChar w:fldCharType="separate"/>
      </w:r>
      <w:r w:rsidRPr="00CA1981">
        <w:rPr>
          <w:rStyle w:val="Hyperlink"/>
        </w:rPr>
        <w:t>Notice 2015-60</w:t>
      </w:r>
      <w:r>
        <w:fldChar w:fldCharType="end"/>
      </w:r>
      <w:r w:rsidRPr="009A0DC9">
        <w:t>)</w:t>
      </w:r>
      <w:r>
        <w:t>.</w:t>
      </w:r>
    </w:p>
    <w:p w:rsidR="00F8394B" w:rsidP="00F8394B" w14:paraId="5D3F1833" w14:textId="1EC00105">
      <w:pPr>
        <w:pStyle w:val="Checkmark"/>
        <w:spacing w:before="120" w:after="120"/>
        <w:rPr>
          <w:noProof/>
        </w:rPr>
      </w:pPr>
      <w:r>
        <w:rPr>
          <w:b/>
          <w:noProof/>
        </w:rPr>
        <w:t>$2.26</w:t>
      </w:r>
      <w:r>
        <w:rPr>
          <w:noProof/>
        </w:rPr>
        <w:t xml:space="preserve"> for plan years ending </w:t>
      </w:r>
      <w:r w:rsidRPr="009A0DC9">
        <w:t>on or after Oct. 1, 201</w:t>
      </w:r>
      <w:r>
        <w:t>6</w:t>
      </w:r>
      <w:r w:rsidRPr="009A0DC9">
        <w:t>, and before Oct. 1, 201</w:t>
      </w:r>
      <w:r>
        <w:t>7</w:t>
      </w:r>
      <w:r w:rsidRPr="009A0DC9">
        <w:t xml:space="preserve"> (</w:t>
      </w:r>
      <w:r>
        <w:t xml:space="preserve">see </w:t>
      </w:r>
      <w:r>
        <w:fldChar w:fldCharType="begin"/>
      </w:r>
      <w:r>
        <w:instrText xml:space="preserve"> HYPERLINK "http://www.irs.gov/pub/irs-drop/n-16-64.pdf" </w:instrText>
      </w:r>
      <w:r>
        <w:fldChar w:fldCharType="separate"/>
      </w:r>
      <w:r w:rsidRPr="00CA1981">
        <w:rPr>
          <w:rStyle w:val="Hyperlink"/>
        </w:rPr>
        <w:t>Notice 201</w:t>
      </w:r>
      <w:r>
        <w:rPr>
          <w:rStyle w:val="Hyperlink"/>
        </w:rPr>
        <w:t>6</w:t>
      </w:r>
      <w:r w:rsidRPr="00CA1981">
        <w:rPr>
          <w:rStyle w:val="Hyperlink"/>
        </w:rPr>
        <w:t>-6</w:t>
      </w:r>
      <w:r>
        <w:rPr>
          <w:rStyle w:val="Hyperlink"/>
        </w:rPr>
        <w:t>4</w:t>
      </w:r>
      <w:r>
        <w:fldChar w:fldCharType="end"/>
      </w:r>
      <w:r w:rsidRPr="009A0DC9">
        <w:t>)</w:t>
      </w:r>
      <w:r>
        <w:rPr>
          <w:noProof/>
        </w:rPr>
        <w:t>.</w:t>
      </w:r>
    </w:p>
    <w:p w:rsidR="00F8394B" w:rsidP="00F8394B" w14:paraId="46F3CC8C" w14:textId="50941167">
      <w:pPr>
        <w:pStyle w:val="Checkmark"/>
        <w:spacing w:before="120" w:after="120"/>
        <w:rPr>
          <w:noProof/>
        </w:rPr>
      </w:pPr>
      <w:r>
        <w:rPr>
          <w:b/>
          <w:noProof/>
        </w:rPr>
        <w:t>$2.39</w:t>
      </w:r>
      <w:r>
        <w:rPr>
          <w:noProof/>
        </w:rPr>
        <w:t xml:space="preserve"> for plan years ending </w:t>
      </w:r>
      <w:r w:rsidRPr="009A0DC9">
        <w:t>on or after Oct. 1, 201</w:t>
      </w:r>
      <w:r>
        <w:t>7</w:t>
      </w:r>
      <w:r w:rsidRPr="009A0DC9">
        <w:t>, and before Oct. 1, 201</w:t>
      </w:r>
      <w:r>
        <w:t>8</w:t>
      </w:r>
      <w:r w:rsidRPr="009A0DC9">
        <w:t xml:space="preserve"> (</w:t>
      </w:r>
      <w:r>
        <w:t xml:space="preserve">see </w:t>
      </w:r>
      <w:r>
        <w:fldChar w:fldCharType="begin"/>
      </w:r>
      <w:r>
        <w:instrText xml:space="preserve"> HYPERLINK "http://www.irs.gov/pub/irs-drop/n-17-61.pdf" </w:instrText>
      </w:r>
      <w:r>
        <w:fldChar w:fldCharType="separate"/>
      </w:r>
      <w:r w:rsidRPr="00CA1981">
        <w:rPr>
          <w:rStyle w:val="Hyperlink"/>
        </w:rPr>
        <w:t>Notice 201</w:t>
      </w:r>
      <w:r>
        <w:rPr>
          <w:rStyle w:val="Hyperlink"/>
        </w:rPr>
        <w:t>7</w:t>
      </w:r>
      <w:r w:rsidRPr="00CA1981">
        <w:rPr>
          <w:rStyle w:val="Hyperlink"/>
        </w:rPr>
        <w:t>-6</w:t>
      </w:r>
      <w:r>
        <w:rPr>
          <w:rStyle w:val="Hyperlink"/>
        </w:rPr>
        <w:t>1</w:t>
      </w:r>
      <w:r>
        <w:fldChar w:fldCharType="end"/>
      </w:r>
      <w:r w:rsidRPr="009A0DC9">
        <w:t>)</w:t>
      </w:r>
      <w:r>
        <w:t>.</w:t>
      </w:r>
    </w:p>
    <w:p w:rsidR="00F8394B" w:rsidP="00F8394B" w14:paraId="5B6C8218" w14:textId="6D57DFB3">
      <w:pPr>
        <w:pStyle w:val="Checkmark"/>
        <w:spacing w:before="120" w:after="120"/>
        <w:rPr>
          <w:noProof/>
        </w:rPr>
      </w:pPr>
      <w:r>
        <w:rPr>
          <w:b/>
          <w:noProof/>
        </w:rPr>
        <w:t>$2.45</w:t>
      </w:r>
      <w:r>
        <w:rPr>
          <w:noProof/>
        </w:rPr>
        <w:t xml:space="preserve"> for plan years ending </w:t>
      </w:r>
      <w:r w:rsidRPr="009A0DC9">
        <w:t>on or after Oct. 1, 201</w:t>
      </w:r>
      <w:r>
        <w:t>8</w:t>
      </w:r>
      <w:r w:rsidRPr="009A0DC9">
        <w:t>, and before Oct. 1, 201</w:t>
      </w:r>
      <w:r>
        <w:t>9</w:t>
      </w:r>
      <w:r w:rsidRPr="009A0DC9">
        <w:t xml:space="preserve"> (</w:t>
      </w:r>
      <w:r>
        <w:t xml:space="preserve">see </w:t>
      </w:r>
      <w:r>
        <w:fldChar w:fldCharType="begin"/>
      </w:r>
      <w:r>
        <w:instrText xml:space="preserve"> HYPERLINK "http://www.irs.gov/pub/irs-drop/n-18-85.pdf" </w:instrText>
      </w:r>
      <w:r>
        <w:fldChar w:fldCharType="separate"/>
      </w:r>
      <w:r w:rsidRPr="00CA1981">
        <w:rPr>
          <w:rStyle w:val="Hyperlink"/>
        </w:rPr>
        <w:t>Notice 201</w:t>
      </w:r>
      <w:r>
        <w:rPr>
          <w:rStyle w:val="Hyperlink"/>
        </w:rPr>
        <w:t>8</w:t>
      </w:r>
      <w:r w:rsidRPr="00CA1981">
        <w:rPr>
          <w:rStyle w:val="Hyperlink"/>
        </w:rPr>
        <w:t>-</w:t>
      </w:r>
      <w:r>
        <w:rPr>
          <w:rStyle w:val="Hyperlink"/>
        </w:rPr>
        <w:t>85</w:t>
      </w:r>
      <w:r>
        <w:fldChar w:fldCharType="end"/>
      </w:r>
      <w:r w:rsidRPr="009A0DC9">
        <w:t>)</w:t>
      </w:r>
      <w:r>
        <w:t>.</w:t>
      </w:r>
    </w:p>
    <w:p w:rsidR="000106B8" w:rsidRPr="00B36FC2" w:rsidP="00B27F03" w14:paraId="08494C66" w14:textId="70999872">
      <w:pPr>
        <w:rPr>
          <w:noProof/>
        </w:rPr>
      </w:pPr>
      <w:r>
        <w:rPr>
          <w:noProof/>
        </w:rPr>
        <w:t>The fees for specified health insurance policies and applicable self-insured health plans are then combined to equal the total tax owed. Issuers or plan sponsors that file Form 720 only to report the PCORI fee will not need to file Form 720 for the first, third or fourth quarter of the year. Issuers or plan sponsors that file Form 720 to report quarterly excise tax liability for the first, third or fourth quarter of the year (for example, to report the foreign insurance tax) should not make an entry on the line for the PCORI tax on those filings.</w:t>
      </w:r>
    </w:p>
    <w:sectPr w:rsidSect="00A507B6">
      <w:headerReference w:type="default" r:id="rId7"/>
      <w:footerReference w:type="default" r:id="rId8"/>
      <w:type w:val="continuous"/>
      <w:pgSz w:w="12240" w:h="15840"/>
      <w:pgMar w:top="1890" w:right="720" w:bottom="16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7955" w:rsidP="00780998" w14:paraId="78B02DED" w14:textId="77777777">
    <w:pPr>
      <w:pStyle w:val="NoSpacing"/>
    </w:pPr>
    <w:r>
      <w:rPr>
        <w:noProof/>
      </w:rPr>
      <w:pict>
        <v:line id="Straight Connector 72" o:spid="_x0000_s2051" style="mso-width-relative:margin;position:absolute;visibility:visible;z-index:251658240" from="237.45pt,-52.55pt" to="542.05pt,-52.55pt" strokecolor="#c95f5f" strokeweight="2pt">
          <v:stroke joinstyle="miter" dashstyle="1 1" endcap="round"/>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171" w:rsidP="00780998" w14:paraId="2AD3E783" w14:textId="043B2075">
    <w:pPr>
      <w:pStyle w:val="NoSpacing"/>
      <w:jc w:val="right"/>
    </w:pPr>
    <w:r>
      <w:rPr>
        <w:noProof/>
      </w:rPr>
      <w:pict>
        <v:shapetype id="_x0000_t202" coordsize="21600,21600" o:spt="202" path="m,l,21600r21600,l21600,xe">
          <v:stroke joinstyle="miter"/>
          <v:path gradientshapeok="t" o:connecttype="rect"/>
        </v:shapetype>
        <v:shape id="Text Box 81" o:spid="_x0000_s2053" type="#_x0000_t202" style="width:525.3pt;height:48.3pt;margin-top:-0.05pt;margin-left:0;mso-height-relative:margin;mso-width-relative:margin;position:absolute;visibility:visible;z-index:251659264" filled="f" stroked="f" strokeweight="0.5pt">
          <v:textbox>
            <w:txbxContent>
              <w:p w:rsidR="006C1171" w:rsidRPr="00A71E15" w:rsidP="009511D5" w14:paraId="0EF04015" w14:textId="77777777">
                <w:pPr>
                  <w:rPr>
                    <w:rStyle w:val="SubtleReference"/>
                    <w:rFonts w:ascii="Verdana" w:hAnsi="Verdana"/>
                  </w:rPr>
                </w:pPr>
                <w:r w:rsidRPr="00A71E15">
                  <w:rPr>
                    <w:rStyle w:val="SubtleReference"/>
                    <w:rFonts w:ascii="Verdana" w:hAnsi="Verdana"/>
                  </w:rPr>
                  <w:t xml:space="preserve">This </w:t>
                </w:r>
                <w:r w:rsidR="00A71E15">
                  <w:rPr>
                    <w:rStyle w:val="SubtleReference"/>
                    <w:rFonts w:ascii="Verdana" w:hAnsi="Verdana"/>
                  </w:rPr>
                  <w:t xml:space="preserve">ACA </w:t>
                </w:r>
                <w:r w:rsidRPr="00A71E15">
                  <w:rPr>
                    <w:rStyle w:val="SubtleReference"/>
                    <w:rFonts w:ascii="Verdana" w:hAnsi="Verdana"/>
                  </w:rPr>
                  <w:t xml:space="preserve">Compliance Bulletin is not intended to be exhaustive nor should any discussion or opinions be construed as legal advice. Readers should contact legal </w:t>
                </w:r>
                <w:r w:rsidRPr="00A71E15">
                  <w:rPr>
                    <w:rStyle w:val="DisclaimerChar"/>
                  </w:rPr>
                  <w:t>counsel for legal</w:t>
                </w:r>
                <w:r w:rsidRPr="00A71E15">
                  <w:rPr>
                    <w:rStyle w:val="SubtleReference"/>
                    <w:rFonts w:ascii="Verdana" w:hAnsi="Verdana"/>
                  </w:rPr>
                  <w:t xml:space="preserve"> advice.</w:t>
                </w:r>
              </w:p>
              <w:p w:rsidR="006C1171" w:rsidRPr="00A71E15" w:rsidP="00A71E15" w14:paraId="31D72B50" w14:textId="25710A4E">
                <w:pPr>
                  <w:pStyle w:val="Disclaimer"/>
                </w:pPr>
                <w:r w:rsidRPr="00A71E15">
                  <w:rPr>
                    <w:rStyle w:val="SubtleReference"/>
                    <w:rFonts w:ascii="Verdana" w:hAnsi="Verdana"/>
                  </w:rPr>
                  <w:t>©</w:t>
                </w:r>
                <w:r w:rsidRPr="00A71E15" w:rsidR="00A71E15">
                  <w:rPr>
                    <w:rStyle w:val="SubtleReference"/>
                    <w:rFonts w:ascii="Verdana" w:hAnsi="Verdana"/>
                  </w:rPr>
                  <w:t xml:space="preserve"> 201</w:t>
                </w:r>
                <w:r w:rsidR="00F8394B">
                  <w:rPr>
                    <w:rStyle w:val="SubtleReference"/>
                    <w:rFonts w:ascii="Verdana" w:hAnsi="Verdana"/>
                  </w:rPr>
                  <w:t>9</w:t>
                </w:r>
                <w:r w:rsidRPr="00A71E15">
                  <w:rPr>
                    <w:rStyle w:val="SubtleReference"/>
                    <w:rFonts w:ascii="Verdana" w:hAnsi="Verdana"/>
                  </w:rPr>
                  <w:t xml:space="preserve"> Zywave, Inc. All rights reserved.</w:t>
                </w:r>
              </w:p>
            </w:txbxContent>
          </v:textbox>
        </v:shape>
      </w:pict>
    </w:r>
    <w:r>
      <w:rPr>
        <w:noProof/>
      </w:rPr>
      <w:pict>
        <v:line id="Straight Connector 82" o:spid="_x0000_s2054" style="position:absolute;visibility:visible;z-index:251660288" from="4.65pt,-10.85pt" to="537.8pt,-10.85pt" strokecolor="#c95f5f" strokeweight="2pt">
          <v:stroke joinstyle="miter" dashstyle="1 1" endcap="round"/>
        </v:line>
      </w:pict>
    </w:r>
    <w:r>
      <w:fldChar w:fldCharType="begin"/>
    </w:r>
    <w:r>
      <w:instrText xml:space="preserve"> PAGE   \* MERGEFORMAT </w:instrText>
    </w:r>
    <w:r>
      <w:fldChar w:fldCharType="separate"/>
    </w:r>
    <w:r>
      <w:rPr>
        <w:noProof/>
      </w:rPr>
      <w:t>2</w:t>
    </w:r>
    <w:r>
      <w:rPr>
        <w:noProof/>
      </w:rPr>
      <w:fldChar w:fldCharType="end"/>
    </w:r>
  </w:p>
  <w:p w:rsidR="00B27D9C" w:rsidRPr="00780998" w:rsidP="00780998" w14:paraId="1E6565D5" w14:textId="77777777">
    <w:pPr>
      <w:pStyle w:val="NoSpacing"/>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C8B" w:rsidP="00780998" w14:paraId="66DE94A0" w14:textId="77777777">
    <w:pPr>
      <w:pStyle w:val="NoSpacing"/>
    </w:pPr>
    <w:r>
      <w:rPr>
        <w:noProof/>
      </w:rPr>
      <w:pict>
        <v:shape id="Text Box 5" o:spid="_x0000_s2049" style="width:196.55pt;height:68.4pt;margin-top:702.25pt;margin-left:-6.75pt;mso-height-relative:margin;mso-position-vertical-relative:page;mso-width-relative:margin;mso-wrap-distance-left:46.8pt;mso-wrap-distance-right:46.8pt;position:absolute;visibility:visible;z-index:251661312" coordsize="2933637,6942511" o:spt="100" adj="-11796480,,5400" path="m,452176l2933637,,2642235,6942511,,6942511,,452176xe" filled="f" stroked="f" strokeweight="0.5pt">
          <v:stroke joinstyle="miter"/>
          <v:formulas/>
          <v:path arrowok="t" o:connecttype="custom" o:connectlocs="0,56578;2496312,0;2248350,868680;0,868680;0,56578" o:connectangles="0,0,0,0,0" textboxrect="0,0,2933637,6942511"/>
          <v:textbox>
            <w:txbxContent>
              <w:p w:rsidR="009511D5" w:rsidRPr="00A74170" w:rsidP="00A74170" w14:paraId="2A17CD67" w14:textId="77777777">
                <w:pPr>
                  <w:pStyle w:val="MergeField"/>
                  <w:rPr>
                    <w:b/>
                  </w:rPr>
                </w:pPr>
                <w:r w:rsidRPr="00A74170">
                  <w:rPr>
                    <w:b/>
                  </w:rPr>
                  <w:t>Provided By:</w:t>
                </w:r>
              </w:p>
              <w:p w:rsidR="009511D5" w:rsidRPr="00A74170" w:rsidP="00A74170" w14:paraId="6E2FA076" w14:textId="77777777">
                <w:pPr>
                  <w:pStyle w:val="MergeField"/>
                </w:pPr>
                <w:r w:rsidRPr="00A74170">
                  <w:t>Robertson Ryan &amp; Associates</w:t>
                </w:r>
              </w:p>
            </w:txbxContent>
          </v:textbox>
          <w10:wrap type="squar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50" type="#_x0000_t75" style="width:612pt;height:792.45pt;margin-top:-208.1pt;margin-left:-36pt;mso-height-relative:margin;mso-position-horizontal-relative:margin;mso-position-vertical-relative:margin;mso-width-relative:margin;position:absolute;visibility:visible;z-index:-251653120">
          <v:imagedata r:id="rId1" o:title="Compliance Bulletin_ACA"/>
          <w10:wrap anchorx="margin" anchory="margin"/>
        </v:shape>
      </w:pict>
    </w:r>
    <w:r w:rsidR="0090784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C8B" w:rsidP="00780998" w14:paraId="148F33B9" w14:textId="77777777">
    <w:pPr>
      <w:pStyle w:val="No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2" type="#_x0000_t75" style="width:612pt;height:86.4pt;margin-top:-93.9pt;margin-left:-36pt;mso-position-horizontal-relative:margin;mso-position-vertical-relative:margin;position:absolute;visibility:visible;z-index:-251654144">
          <v:imagedata r:id="rId1" o:title="Compliance Bulletin_header_ACA"/>
          <w10:wrap anchorx="margin" anchory="margin"/>
        </v:shape>
      </w:pict>
    </w:r>
  </w:p>
  <w:p w:rsidR="00B27D9C" w:rsidP="00780998" w14:paraId="54C00BE2" w14:textId="77777777">
    <w:pPr>
      <w:pStyle w:val="NoSpacing"/>
    </w:pPr>
  </w:p>
  <w:p w:rsidR="00B27D9C" w:rsidP="00780998" w14:paraId="6694C879" w14:textId="7777777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95pt;height:629.3pt" o:bullet="t">
        <v:imagedata r:id="rId1" o:title="Checkmark_BLUE"/>
      </v:shape>
    </w:pict>
  </w:numPicBullet>
  <w:numPicBullet w:numPicBulletId="1">
    <w:pict>
      <v:shape id="_x0000_i1026" type="#_x0000_t75" style="width:489.95pt;height:629.3pt" o:bullet="t">
        <v:imagedata r:id="rId2" o:title="Checkmark_RED"/>
      </v:shape>
    </w:pict>
  </w:numPicBullet>
  <w:abstractNum w:abstractNumId="0">
    <w:nsid w:val="05A00A49"/>
    <w:multiLevelType w:val="multilevel"/>
    <w:tmpl w:val="0409001D"/>
    <w:styleLink w:val="Style1"/>
    <w:lvl w:ilvl="0">
      <w:start w:val="1"/>
      <w:numFmt w:val="bullet"/>
      <w:pStyle w:val="Checkmark"/>
      <w:lvlText w:val=""/>
      <w:lvlPicBulletId w:val="1"/>
      <w:lvlJc w:val="left"/>
      <w:pPr>
        <w:ind w:left="360" w:hanging="360"/>
      </w:pPr>
      <w:rPr>
        <w:rFonts w:ascii="Symbol" w:hAnsi="Symbol" w:hint="default"/>
        <w:color w:val="auto"/>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19C28BA"/>
    <w:multiLevelType w:val="hybridMultilevel"/>
    <w:tmpl w:val="2912F700"/>
    <w:lvl w:ilvl="0">
      <w:start w:val="1"/>
      <w:numFmt w:val="bullet"/>
      <w:pStyle w:val="HBullets"/>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C93110E"/>
    <w:multiLevelType w:val="hybridMultilevel"/>
    <w:tmpl w:val="24E23D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380509C"/>
    <w:multiLevelType w:val="multilevel"/>
    <w:tmpl w:val="0409001D"/>
    <w:numStyleLink w:val="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772F0980"/>
    <w:multiLevelType w:val="multilevel"/>
    <w:tmpl w:val="0409001D"/>
    <w:styleLink w:val="Style3"/>
    <w:lvl w:ilvl="0">
      <w:start w:val="1"/>
      <w:numFmt w:val="bullet"/>
      <w:lvlText w:val=""/>
      <w:lvlPicBulletId w:val="0"/>
      <w:lvlJc w:val="left"/>
      <w:pPr>
        <w:ind w:left="360" w:hanging="360"/>
      </w:pPr>
      <w:rPr>
        <w:rFonts w:ascii="Symbol" w:hAnsi="Symbol" w:hint="default"/>
        <w:color w:val="auto"/>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03"/>
    <w:rsid w:val="000106B8"/>
    <w:rsid w:val="00012854"/>
    <w:rsid w:val="000647C3"/>
    <w:rsid w:val="000A2D04"/>
    <w:rsid w:val="000E6479"/>
    <w:rsid w:val="001067A1"/>
    <w:rsid w:val="00150F8C"/>
    <w:rsid w:val="00152CB4"/>
    <w:rsid w:val="001B2C8B"/>
    <w:rsid w:val="00255821"/>
    <w:rsid w:val="0026361C"/>
    <w:rsid w:val="002A259D"/>
    <w:rsid w:val="00331E4F"/>
    <w:rsid w:val="003C71D6"/>
    <w:rsid w:val="004175DA"/>
    <w:rsid w:val="00493795"/>
    <w:rsid w:val="004E2A8E"/>
    <w:rsid w:val="005059CE"/>
    <w:rsid w:val="00533FD8"/>
    <w:rsid w:val="00560659"/>
    <w:rsid w:val="005856E3"/>
    <w:rsid w:val="005B3B2F"/>
    <w:rsid w:val="005F3D0C"/>
    <w:rsid w:val="006413DF"/>
    <w:rsid w:val="00677955"/>
    <w:rsid w:val="0069793E"/>
    <w:rsid w:val="006C1171"/>
    <w:rsid w:val="006E5313"/>
    <w:rsid w:val="0077447C"/>
    <w:rsid w:val="007746E3"/>
    <w:rsid w:val="00780998"/>
    <w:rsid w:val="00782173"/>
    <w:rsid w:val="007E2B5B"/>
    <w:rsid w:val="00806289"/>
    <w:rsid w:val="00850C59"/>
    <w:rsid w:val="00907840"/>
    <w:rsid w:val="00910564"/>
    <w:rsid w:val="009511D5"/>
    <w:rsid w:val="009A0DC9"/>
    <w:rsid w:val="009C4ECD"/>
    <w:rsid w:val="009D1AFE"/>
    <w:rsid w:val="009F0DF9"/>
    <w:rsid w:val="00A06A27"/>
    <w:rsid w:val="00A2116A"/>
    <w:rsid w:val="00A507B6"/>
    <w:rsid w:val="00A71E15"/>
    <w:rsid w:val="00A74170"/>
    <w:rsid w:val="00A909C1"/>
    <w:rsid w:val="00AA1E33"/>
    <w:rsid w:val="00AC6023"/>
    <w:rsid w:val="00AD4F9B"/>
    <w:rsid w:val="00B027EB"/>
    <w:rsid w:val="00B239EB"/>
    <w:rsid w:val="00B27D9C"/>
    <w:rsid w:val="00B27F03"/>
    <w:rsid w:val="00B32A89"/>
    <w:rsid w:val="00B36FC2"/>
    <w:rsid w:val="00B4746B"/>
    <w:rsid w:val="00B969FB"/>
    <w:rsid w:val="00BD4355"/>
    <w:rsid w:val="00BF7664"/>
    <w:rsid w:val="00C01FB5"/>
    <w:rsid w:val="00C91D30"/>
    <w:rsid w:val="00CA1981"/>
    <w:rsid w:val="00D26556"/>
    <w:rsid w:val="00D32AE6"/>
    <w:rsid w:val="00D3402E"/>
    <w:rsid w:val="00D46A3B"/>
    <w:rsid w:val="00D600EB"/>
    <w:rsid w:val="00D82309"/>
    <w:rsid w:val="00DF53FD"/>
    <w:rsid w:val="00E152CC"/>
    <w:rsid w:val="00E85CEC"/>
    <w:rsid w:val="00ED02F8"/>
    <w:rsid w:val="00F4703C"/>
    <w:rsid w:val="00F65261"/>
    <w:rsid w:val="00F676B0"/>
    <w:rsid w:val="00F8394B"/>
    <w:rsid w:val="00F90726"/>
    <w:rsid w:val="00F94783"/>
    <w:rsid w:val="00FE19EB"/>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03F8DA7-5044-404B-B237-A9C219C4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 Text"/>
    <w:qFormat/>
    <w:rsid w:val="009511D5"/>
    <w:pPr>
      <w:spacing w:after="160" w:line="259" w:lineRule="auto"/>
    </w:pPr>
    <w:rPr>
      <w:color w:val="595959"/>
      <w:sz w:val="24"/>
      <w:szCs w:val="22"/>
    </w:rPr>
  </w:style>
  <w:style w:type="paragraph" w:styleId="Heading1">
    <w:name w:val="heading 1"/>
    <w:basedOn w:val="Normal"/>
    <w:next w:val="Normal"/>
    <w:link w:val="Heading1Char"/>
    <w:uiPriority w:val="9"/>
    <w:qFormat/>
    <w:rsid w:val="005B3B2F"/>
    <w:pPr>
      <w:pBdr>
        <w:bottom w:val="single" w:sz="4" w:space="1" w:color="C95F5F"/>
      </w:pBdr>
      <w:outlineLvl w:val="0"/>
    </w:pPr>
    <w:rPr>
      <w:b/>
      <w:sz w:val="32"/>
    </w:rPr>
  </w:style>
  <w:style w:type="paragraph" w:styleId="Heading2">
    <w:name w:val="heading 2"/>
    <w:basedOn w:val="Normal"/>
    <w:next w:val="Normal"/>
    <w:link w:val="Heading2Char"/>
    <w:uiPriority w:val="9"/>
    <w:unhideWhenUsed/>
    <w:qFormat/>
    <w:rsid w:val="005B3B2F"/>
    <w:pPr>
      <w:spacing w:before="240" w:after="0"/>
      <w:outlineLvl w:val="1"/>
    </w:pPr>
    <w:rPr>
      <w:b/>
      <w:color w:val="C95F5F"/>
      <w:sz w:val="28"/>
    </w:rPr>
  </w:style>
  <w:style w:type="paragraph" w:styleId="Heading3">
    <w:name w:val="heading 3"/>
    <w:aliases w:val="H Heading"/>
    <w:basedOn w:val="Normal"/>
    <w:next w:val="Normal"/>
    <w:link w:val="Heading3Char"/>
    <w:uiPriority w:val="9"/>
    <w:unhideWhenUsed/>
    <w:qFormat/>
    <w:rsid w:val="00D600EB"/>
    <w:pPr>
      <w:pBdr>
        <w:bottom w:val="single" w:sz="8" w:space="1" w:color="FFFFFF"/>
      </w:pBdr>
      <w:spacing w:before="320"/>
      <w:ind w:right="13"/>
      <w:outlineLvl w:val="2"/>
    </w:pPr>
    <w:rPr>
      <w:rFonts w:cs="Arial"/>
      <w:b/>
      <w:color w:val="FFFFFF"/>
      <w:sz w:val="36"/>
      <w:szCs w:val="36"/>
    </w:rPr>
  </w:style>
  <w:style w:type="paragraph" w:styleId="Heading4">
    <w:name w:val="heading 4"/>
    <w:basedOn w:val="Normal"/>
    <w:next w:val="Normal"/>
    <w:link w:val="Heading4Char"/>
    <w:uiPriority w:val="9"/>
    <w:unhideWhenUsed/>
    <w:qFormat/>
    <w:rsid w:val="00152CB4"/>
    <w:pPr>
      <w:spacing w:before="240" w:after="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C8B"/>
  </w:style>
  <w:style w:type="paragraph" w:styleId="Footer">
    <w:name w:val="footer"/>
    <w:basedOn w:val="Normal"/>
    <w:link w:val="FooterChar"/>
    <w:uiPriority w:val="99"/>
    <w:unhideWhenUsed/>
    <w:rsid w:val="001B2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C8B"/>
  </w:style>
  <w:style w:type="character" w:customStyle="1" w:styleId="Heading3Char">
    <w:name w:val="Heading 3 Char"/>
    <w:aliases w:val="H Heading Char"/>
    <w:link w:val="Heading3"/>
    <w:uiPriority w:val="9"/>
    <w:rsid w:val="00D600EB"/>
    <w:rPr>
      <w:rFonts w:cs="Arial"/>
      <w:b/>
      <w:color w:val="FFFFFF"/>
      <w:sz w:val="36"/>
      <w:szCs w:val="36"/>
    </w:rPr>
  </w:style>
  <w:style w:type="paragraph" w:customStyle="1" w:styleId="HBullets">
    <w:name w:val="H Bullets"/>
    <w:basedOn w:val="ListParagraph"/>
    <w:link w:val="HBulletsChar"/>
    <w:qFormat/>
    <w:rsid w:val="00A74170"/>
    <w:pPr>
      <w:numPr>
        <w:numId w:val="5"/>
      </w:numPr>
      <w:ind w:left="360"/>
      <w:contextualSpacing w:val="0"/>
    </w:pPr>
    <w:rPr>
      <w:color w:val="FFFFFF"/>
      <w:szCs w:val="24"/>
    </w:rPr>
  </w:style>
  <w:style w:type="character" w:customStyle="1" w:styleId="HBulletsChar">
    <w:name w:val="H Bullets Char"/>
    <w:link w:val="HBullets"/>
    <w:rsid w:val="00A74170"/>
    <w:rPr>
      <w:rFonts w:ascii="Calibri" w:hAnsi="Calibri"/>
      <w:color w:val="FFFFFF"/>
      <w:sz w:val="24"/>
      <w:szCs w:val="24"/>
    </w:rPr>
  </w:style>
  <w:style w:type="paragraph" w:styleId="ListParagraph">
    <w:name w:val="List Paragraph"/>
    <w:basedOn w:val="Normal"/>
    <w:uiPriority w:val="34"/>
    <w:rsid w:val="001B2C8B"/>
    <w:pPr>
      <w:ind w:left="720"/>
      <w:contextualSpacing/>
    </w:pPr>
  </w:style>
  <w:style w:type="character" w:customStyle="1" w:styleId="Heading1Char">
    <w:name w:val="Heading 1 Char"/>
    <w:link w:val="Heading1"/>
    <w:uiPriority w:val="9"/>
    <w:rsid w:val="005B3B2F"/>
    <w:rPr>
      <w:b/>
      <w:color w:val="595959"/>
      <w:sz w:val="32"/>
    </w:rPr>
  </w:style>
  <w:style w:type="paragraph" w:styleId="Title">
    <w:name w:val="Title"/>
    <w:basedOn w:val="Normal"/>
    <w:next w:val="Normal"/>
    <w:link w:val="TitleChar"/>
    <w:uiPriority w:val="10"/>
    <w:qFormat/>
    <w:rsid w:val="00A74170"/>
    <w:pPr>
      <w:spacing w:before="240" w:line="240" w:lineRule="auto"/>
    </w:pPr>
    <w:rPr>
      <w:b/>
      <w:caps/>
      <w:noProof/>
      <w:color w:val="C95F5F"/>
      <w:sz w:val="52"/>
    </w:rPr>
  </w:style>
  <w:style w:type="character" w:customStyle="1" w:styleId="TitleChar">
    <w:name w:val="Title Char"/>
    <w:link w:val="Title"/>
    <w:uiPriority w:val="10"/>
    <w:rsid w:val="00A74170"/>
    <w:rPr>
      <w:b/>
      <w:caps/>
      <w:noProof/>
      <w:color w:val="C95F5F"/>
      <w:sz w:val="52"/>
      <w:szCs w:val="22"/>
    </w:rPr>
  </w:style>
  <w:style w:type="character" w:customStyle="1" w:styleId="Heading2Char">
    <w:name w:val="Heading 2 Char"/>
    <w:link w:val="Heading2"/>
    <w:uiPriority w:val="9"/>
    <w:rsid w:val="005B3B2F"/>
    <w:rPr>
      <w:b/>
      <w:color w:val="C95F5F"/>
      <w:sz w:val="28"/>
    </w:rPr>
  </w:style>
  <w:style w:type="table" w:styleId="TableGrid">
    <w:name w:val="Table Grid"/>
    <w:basedOn w:val="TableNormal"/>
    <w:uiPriority w:val="39"/>
    <w:rsid w:val="0067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5B3B2F"/>
    <w:pPr>
      <w:spacing w:after="0" w:line="240" w:lineRule="auto"/>
      <w:jc w:val="center"/>
    </w:pPr>
    <w:rPr>
      <w:b/>
      <w:color w:val="FFFFFF"/>
      <w:sz w:val="28"/>
      <w:szCs w:val="20"/>
    </w:rPr>
  </w:style>
  <w:style w:type="character" w:customStyle="1" w:styleId="TableHeadingChar">
    <w:name w:val="Table Heading Char"/>
    <w:link w:val="TableHeading"/>
    <w:rsid w:val="005B3B2F"/>
    <w:rPr>
      <w:b/>
      <w:color w:val="FFFFFF"/>
      <w:sz w:val="28"/>
      <w:szCs w:val="20"/>
    </w:rPr>
  </w:style>
  <w:style w:type="character" w:styleId="SubtleReference">
    <w:name w:val="Subtle Reference"/>
    <w:uiPriority w:val="31"/>
    <w:rsid w:val="00A507B6"/>
    <w:rPr>
      <w:rFonts w:ascii="Calibri" w:hAnsi="Calibri"/>
      <w:dstrike w:val="0"/>
      <w:color w:val="7F7F7F"/>
      <w:sz w:val="16"/>
      <w:u w:val="none"/>
      <w:vertAlign w:val="baseline"/>
    </w:rPr>
  </w:style>
  <w:style w:type="paragraph" w:customStyle="1" w:styleId="Checkmark">
    <w:name w:val="Check mark"/>
    <w:basedOn w:val="ListParagraph"/>
    <w:link w:val="CheckmarkChar"/>
    <w:qFormat/>
    <w:rsid w:val="00A74170"/>
    <w:pPr>
      <w:numPr>
        <w:numId w:val="2"/>
      </w:numPr>
      <w:ind w:left="720"/>
      <w:contextualSpacing w:val="0"/>
    </w:pPr>
  </w:style>
  <w:style w:type="numbering" w:customStyle="1" w:styleId="Style3">
    <w:name w:val="Style3"/>
    <w:uiPriority w:val="99"/>
    <w:rsid w:val="00806289"/>
    <w:pPr>
      <w:numPr>
        <w:numId w:val="3"/>
      </w:numPr>
    </w:pPr>
  </w:style>
  <w:style w:type="character" w:customStyle="1" w:styleId="CheckmarkChar">
    <w:name w:val="Check mark Char"/>
    <w:link w:val="Checkmark"/>
    <w:rsid w:val="00A74170"/>
    <w:rPr>
      <w:color w:val="595959"/>
      <w:sz w:val="24"/>
      <w:szCs w:val="22"/>
    </w:rPr>
  </w:style>
  <w:style w:type="numbering" w:customStyle="1" w:styleId="Style1">
    <w:name w:val="Style1"/>
    <w:uiPriority w:val="99"/>
    <w:rsid w:val="00806289"/>
    <w:pPr>
      <w:numPr>
        <w:numId w:val="4"/>
      </w:numPr>
    </w:pPr>
  </w:style>
  <w:style w:type="paragraph" w:customStyle="1" w:styleId="HText">
    <w:name w:val="H Text"/>
    <w:basedOn w:val="Normal"/>
    <w:link w:val="HTextChar"/>
    <w:qFormat/>
    <w:rsid w:val="00A74170"/>
    <w:pPr>
      <w:ind w:right="13"/>
    </w:pPr>
    <w:rPr>
      <w:color w:val="FFFFFF"/>
      <w:szCs w:val="24"/>
    </w:rPr>
  </w:style>
  <w:style w:type="paragraph" w:customStyle="1" w:styleId="HSubheading">
    <w:name w:val="H Subheading"/>
    <w:basedOn w:val="Normal"/>
    <w:link w:val="HSubheadingChar"/>
    <w:qFormat/>
    <w:rsid w:val="00A74170"/>
    <w:pPr>
      <w:spacing w:after="0"/>
      <w:ind w:right="13"/>
    </w:pPr>
    <w:rPr>
      <w:rFonts w:cs="Arial"/>
      <w:b/>
      <w:color w:val="FFFFFF"/>
      <w:sz w:val="28"/>
      <w:szCs w:val="20"/>
    </w:rPr>
  </w:style>
  <w:style w:type="character" w:customStyle="1" w:styleId="HTextChar">
    <w:name w:val="H Text Char"/>
    <w:link w:val="HText"/>
    <w:rsid w:val="00A74170"/>
    <w:rPr>
      <w:rFonts w:ascii="Calibri" w:hAnsi="Calibri"/>
      <w:color w:val="FFFFFF"/>
      <w:sz w:val="24"/>
      <w:szCs w:val="24"/>
    </w:rPr>
  </w:style>
  <w:style w:type="paragraph" w:customStyle="1" w:styleId="PullQuote">
    <w:name w:val="Pull Quote"/>
    <w:basedOn w:val="Normal"/>
    <w:link w:val="PullQuoteChar"/>
    <w:qFormat/>
    <w:rsid w:val="005B3B2F"/>
    <w:pPr>
      <w:spacing w:after="0" w:line="312" w:lineRule="auto"/>
    </w:pPr>
    <w:rPr>
      <w:b/>
      <w:i/>
      <w:color w:val="AEAAAA"/>
      <w:sz w:val="28"/>
    </w:rPr>
  </w:style>
  <w:style w:type="character" w:customStyle="1" w:styleId="HSubheadingChar">
    <w:name w:val="H Subheading Char"/>
    <w:link w:val="HSubheading"/>
    <w:rsid w:val="00A74170"/>
    <w:rPr>
      <w:rFonts w:ascii="Calibri" w:hAnsi="Calibri" w:cs="Arial"/>
      <w:b/>
      <w:color w:val="FFFFFF"/>
      <w:sz w:val="28"/>
    </w:rPr>
  </w:style>
  <w:style w:type="paragraph" w:customStyle="1" w:styleId="MergeField">
    <w:name w:val="Merge Field"/>
    <w:basedOn w:val="Normal"/>
    <w:link w:val="MergeFieldChar"/>
    <w:qFormat/>
    <w:rsid w:val="00A74170"/>
    <w:pPr>
      <w:spacing w:after="0"/>
      <w:ind w:right="14"/>
    </w:pPr>
    <w:rPr>
      <w:color w:val="FFFFFF"/>
      <w:sz w:val="28"/>
      <w:szCs w:val="20"/>
    </w:rPr>
  </w:style>
  <w:style w:type="character" w:customStyle="1" w:styleId="PullQuoteChar">
    <w:name w:val="Pull Quote Char"/>
    <w:link w:val="PullQuote"/>
    <w:rsid w:val="005B3B2F"/>
    <w:rPr>
      <w:b/>
      <w:i/>
      <w:color w:val="AEAAAA"/>
      <w:sz w:val="28"/>
    </w:rPr>
  </w:style>
  <w:style w:type="paragraph" w:styleId="NoSpacing">
    <w:name w:val="No Spacing"/>
    <w:basedOn w:val="Normal"/>
    <w:uiPriority w:val="1"/>
    <w:qFormat/>
    <w:rsid w:val="00780998"/>
    <w:pPr>
      <w:spacing w:after="0"/>
    </w:pPr>
    <w:rPr>
      <w:sz w:val="22"/>
    </w:rPr>
  </w:style>
  <w:style w:type="character" w:customStyle="1" w:styleId="MergeFieldChar">
    <w:name w:val="Merge Field Char"/>
    <w:link w:val="MergeField"/>
    <w:rsid w:val="00A74170"/>
    <w:rPr>
      <w:rFonts w:ascii="Calibri" w:hAnsi="Calibri"/>
      <w:color w:val="FFFFFF"/>
      <w:sz w:val="28"/>
    </w:rPr>
  </w:style>
  <w:style w:type="character" w:customStyle="1" w:styleId="Heading4Char">
    <w:name w:val="Heading 4 Char"/>
    <w:link w:val="Heading4"/>
    <w:uiPriority w:val="9"/>
    <w:rsid w:val="00152CB4"/>
    <w:rPr>
      <w:b/>
      <w:i/>
      <w:color w:val="595959"/>
      <w:sz w:val="24"/>
      <w:szCs w:val="22"/>
    </w:rPr>
  </w:style>
  <w:style w:type="paragraph" w:customStyle="1" w:styleId="Disclaimer">
    <w:name w:val="Disclaimer"/>
    <w:basedOn w:val="Normal"/>
    <w:link w:val="DisclaimerChar"/>
    <w:qFormat/>
    <w:rsid w:val="00A71E15"/>
    <w:rPr>
      <w:rFonts w:ascii="Verdana" w:hAnsi="Verdana"/>
      <w:color w:val="7F7F7F"/>
      <w:sz w:val="16"/>
    </w:rPr>
  </w:style>
  <w:style w:type="character" w:styleId="Hyperlink">
    <w:name w:val="Hyperlink"/>
    <w:uiPriority w:val="99"/>
    <w:unhideWhenUsed/>
    <w:rsid w:val="00B27F03"/>
    <w:rPr>
      <w:color w:val="0563C1"/>
      <w:u w:val="single"/>
    </w:rPr>
  </w:style>
  <w:style w:type="character" w:customStyle="1" w:styleId="DisclaimerChar">
    <w:name w:val="Disclaimer Char"/>
    <w:link w:val="Disclaimer"/>
    <w:rsid w:val="00A71E15"/>
    <w:rPr>
      <w:rFonts w:ascii="Verdana" w:hAnsi="Verdana"/>
      <w:color w:val="7F7F7F"/>
      <w:sz w:val="16"/>
      <w:szCs w:val="22"/>
    </w:rPr>
  </w:style>
  <w:style w:type="character" w:styleId="FollowedHyperlink">
    <w:name w:val="FollowedHyperlink"/>
    <w:uiPriority w:val="99"/>
    <w:semiHidden/>
    <w:unhideWhenUsed/>
    <w:rsid w:val="00B27F03"/>
    <w:rPr>
      <w:color w:val="954F72"/>
      <w:u w:val="single"/>
    </w:rPr>
  </w:style>
  <w:style w:type="character" w:styleId="CommentReference">
    <w:name w:val="annotation reference"/>
    <w:uiPriority w:val="99"/>
    <w:semiHidden/>
    <w:unhideWhenUsed/>
    <w:rsid w:val="00F94783"/>
    <w:rPr>
      <w:sz w:val="16"/>
      <w:szCs w:val="16"/>
    </w:rPr>
  </w:style>
  <w:style w:type="paragraph" w:styleId="CommentText">
    <w:name w:val="annotation text"/>
    <w:basedOn w:val="Normal"/>
    <w:link w:val="CommentTextChar"/>
    <w:uiPriority w:val="99"/>
    <w:semiHidden/>
    <w:unhideWhenUsed/>
    <w:rsid w:val="00F94783"/>
    <w:rPr>
      <w:sz w:val="20"/>
      <w:szCs w:val="20"/>
    </w:rPr>
  </w:style>
  <w:style w:type="character" w:customStyle="1" w:styleId="CommentTextChar">
    <w:name w:val="Comment Text Char"/>
    <w:link w:val="CommentText"/>
    <w:uiPriority w:val="99"/>
    <w:semiHidden/>
    <w:rsid w:val="00F94783"/>
    <w:rPr>
      <w:color w:val="595959"/>
    </w:rPr>
  </w:style>
  <w:style w:type="paragraph" w:styleId="CommentSubject">
    <w:name w:val="annotation subject"/>
    <w:basedOn w:val="CommentText"/>
    <w:next w:val="CommentText"/>
    <w:link w:val="CommentSubjectChar"/>
    <w:uiPriority w:val="99"/>
    <w:semiHidden/>
    <w:unhideWhenUsed/>
    <w:rsid w:val="00F94783"/>
    <w:rPr>
      <w:b/>
      <w:bCs/>
    </w:rPr>
  </w:style>
  <w:style w:type="character" w:customStyle="1" w:styleId="CommentSubjectChar">
    <w:name w:val="Comment Subject Char"/>
    <w:link w:val="CommentSubject"/>
    <w:uiPriority w:val="99"/>
    <w:semiHidden/>
    <w:rsid w:val="00F94783"/>
    <w:rPr>
      <w:b/>
      <w:bCs/>
      <w:color w:val="595959"/>
    </w:rPr>
  </w:style>
  <w:style w:type="paragraph" w:styleId="BalloonText">
    <w:name w:val="Balloon Text"/>
    <w:basedOn w:val="Normal"/>
    <w:link w:val="BalloonTextChar"/>
    <w:uiPriority w:val="99"/>
    <w:semiHidden/>
    <w:unhideWhenUsed/>
    <w:rsid w:val="00F947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94783"/>
    <w:rPr>
      <w:rFonts w:ascii="Segoe UI" w:hAnsi="Segoe UI" w:cs="Segoe UI"/>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2.png"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3.jpeg" /></Relationships>
</file>

<file path=word/_rels/numbering.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I:\Content%20Development\_LEGAL%20CONTENT\New%20Templates\ACA\ACA%20Compliance%20Bulletin\ACA%20Compliance%20Bulleti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ACA Compliance Bulletin</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Rollefson, Becca</dc:creator>
  <cp:lastModifiedBy>Rollefson, Becca</cp:lastModifiedBy>
  <cp:revision>2</cp:revision>
  <cp:lastPrinted>2018-11-06T19:43:00Z</cp:lastPrinted>
  <dcterms:created xsi:type="dcterms:W3CDTF">2019-07-11T18:12:00Z</dcterms:created>
  <dcterms:modified xsi:type="dcterms:W3CDTF">2019-07-11T18:12:00Z</dcterms:modified>
</cp:coreProperties>
</file>